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A603" w14:textId="77777777" w:rsidR="00E66597" w:rsidRPr="00E66597" w:rsidRDefault="00E66597" w:rsidP="00E66597">
      <w:pPr>
        <w:jc w:val="center"/>
        <w:rPr>
          <w:b/>
          <w:bCs/>
          <w:sz w:val="28"/>
          <w:szCs w:val="28"/>
        </w:rPr>
      </w:pPr>
      <w:r w:rsidRPr="00E66597">
        <w:rPr>
          <w:b/>
          <w:bCs/>
          <w:sz w:val="28"/>
          <w:szCs w:val="28"/>
        </w:rPr>
        <w:t>TOLL REFINING AND OUTBOUND EXPORT AGREEMENT</w:t>
      </w:r>
    </w:p>
    <w:p w14:paraId="48978919" w14:textId="77777777" w:rsidR="00E66597" w:rsidRPr="00E66597" w:rsidRDefault="00E66597" w:rsidP="00E66597">
      <w:pPr>
        <w:jc w:val="center"/>
      </w:pPr>
      <w:r w:rsidRPr="00E66597">
        <w:rPr>
          <w:b/>
          <w:bCs/>
        </w:rPr>
        <w:t>DMCC-COMPLIANT &amp; UAE MINISTRY OF ECONOMY (</w:t>
      </w:r>
      <w:proofErr w:type="spellStart"/>
      <w:r w:rsidRPr="00E66597">
        <w:rPr>
          <w:b/>
          <w:bCs/>
        </w:rPr>
        <w:t>MoE</w:t>
      </w:r>
      <w:proofErr w:type="spellEnd"/>
      <w:r w:rsidRPr="00E66597">
        <w:rPr>
          <w:b/>
          <w:bCs/>
        </w:rPr>
        <w:t>) ALIGNED FRAMEWORK</w:t>
      </w:r>
    </w:p>
    <w:p w14:paraId="78734CE9" w14:textId="77777777" w:rsidR="00E66597" w:rsidRPr="00E66597" w:rsidRDefault="00E66597" w:rsidP="00E66597">
      <w:r w:rsidRPr="00E66597">
        <w:rPr>
          <w:b/>
          <w:bCs/>
        </w:rPr>
        <w:t>THIS REFINING AND OUTBOUND EXPORT AGREEMENT</w:t>
      </w:r>
      <w:r w:rsidRPr="00E66597">
        <w:t xml:space="preserve"> (the </w:t>
      </w:r>
      <w:r w:rsidRPr="00E66597">
        <w:rPr>
          <w:b/>
          <w:bCs/>
        </w:rPr>
        <w:t>"Agreement"</w:t>
      </w:r>
      <w:r w:rsidRPr="00E66597">
        <w:t>) is entered into this ______ day of ____________</w:t>
      </w:r>
      <w:r w:rsidRPr="00E66597">
        <w:rPr>
          <w:b/>
          <w:bCs/>
        </w:rPr>
        <w:t>, 20</w:t>
      </w:r>
      <w:r w:rsidRPr="00E66597">
        <w:t xml:space="preserve"> (the </w:t>
      </w:r>
      <w:r w:rsidRPr="00E66597">
        <w:rPr>
          <w:b/>
          <w:bCs/>
        </w:rPr>
        <w:t>"Effective Date"</w:t>
      </w:r>
      <w:r w:rsidRPr="00E66597">
        <w:t>), by and between:</w:t>
      </w:r>
    </w:p>
    <w:p w14:paraId="7A5A75C3" w14:textId="77777777" w:rsidR="00E66597" w:rsidRPr="00E66597" w:rsidRDefault="00E66597" w:rsidP="00E66597">
      <w:pPr>
        <w:rPr>
          <w:b/>
          <w:bCs/>
        </w:rPr>
      </w:pPr>
      <w:r w:rsidRPr="00E66597">
        <w:rPr>
          <w:b/>
          <w:bCs/>
        </w:rPr>
        <w:t>1. THE CONTRACTING PARTIES</w:t>
      </w:r>
    </w:p>
    <w:p w14:paraId="7B64A210" w14:textId="77777777" w:rsidR="00E66597" w:rsidRPr="00E66597" w:rsidRDefault="00E66597" w:rsidP="00E66597">
      <w:pPr>
        <w:rPr>
          <w:b/>
          <w:bCs/>
        </w:rPr>
      </w:pPr>
      <w:r w:rsidRPr="00E66597">
        <w:rPr>
          <w:b/>
          <w:bCs/>
        </w:rPr>
        <w:t>THE CUSTOMER:</w:t>
      </w:r>
    </w:p>
    <w:p w14:paraId="5EAA3320" w14:textId="77777777" w:rsidR="00E66597" w:rsidRPr="00E66597" w:rsidRDefault="00E66597" w:rsidP="00E66597">
      <w:pPr>
        <w:numPr>
          <w:ilvl w:val="0"/>
          <w:numId w:val="1"/>
        </w:numPr>
      </w:pPr>
      <w:r w:rsidRPr="00E66597">
        <w:rPr>
          <w:b/>
          <w:bCs/>
        </w:rPr>
        <w:t>Company Name</w:t>
      </w:r>
      <w:r w:rsidRPr="00E66597">
        <w:t>: ______________________________________</w:t>
      </w:r>
    </w:p>
    <w:p w14:paraId="42784172" w14:textId="77777777" w:rsidR="00E66597" w:rsidRPr="00E66597" w:rsidRDefault="00E66597" w:rsidP="00E66597">
      <w:pPr>
        <w:numPr>
          <w:ilvl w:val="0"/>
          <w:numId w:val="1"/>
        </w:numPr>
      </w:pPr>
      <w:r w:rsidRPr="00E66597">
        <w:rPr>
          <w:b/>
          <w:bCs/>
        </w:rPr>
        <w:t>Legal Jurisdiction / Registration No</w:t>
      </w:r>
      <w:r w:rsidRPr="00E66597">
        <w:t>: ___________________ / __________________</w:t>
      </w:r>
    </w:p>
    <w:p w14:paraId="1A737EB2" w14:textId="77777777" w:rsidR="00E66597" w:rsidRPr="00E66597" w:rsidRDefault="00E66597" w:rsidP="00E66597">
      <w:pPr>
        <w:numPr>
          <w:ilvl w:val="0"/>
          <w:numId w:val="1"/>
        </w:numPr>
      </w:pPr>
      <w:r w:rsidRPr="00E66597">
        <w:rPr>
          <w:b/>
          <w:bCs/>
        </w:rPr>
        <w:t>Corporate Registered Address</w:t>
      </w:r>
      <w:r w:rsidRPr="00E66597">
        <w:t>: ___________________________________________</w:t>
      </w:r>
    </w:p>
    <w:p w14:paraId="5BD022B1" w14:textId="77777777" w:rsidR="00E66597" w:rsidRPr="00E66597" w:rsidRDefault="00E66597" w:rsidP="00E66597">
      <w:pPr>
        <w:numPr>
          <w:ilvl w:val="0"/>
          <w:numId w:val="1"/>
        </w:numPr>
      </w:pPr>
      <w:r w:rsidRPr="00E66597">
        <w:rPr>
          <w:b/>
          <w:bCs/>
        </w:rPr>
        <w:t>Official Contact Email / Phone</w:t>
      </w:r>
      <w:r w:rsidRPr="00E66597">
        <w:t>: _______________________ / __________________</w:t>
      </w:r>
    </w:p>
    <w:p w14:paraId="5ACFCAB3" w14:textId="77777777" w:rsidR="00E66597" w:rsidRPr="00E66597" w:rsidRDefault="00E66597" w:rsidP="00E66597">
      <w:pPr>
        <w:numPr>
          <w:ilvl w:val="0"/>
          <w:numId w:val="1"/>
        </w:numPr>
      </w:pPr>
      <w:r w:rsidRPr="00E66597">
        <w:rPr>
          <w:b/>
          <w:bCs/>
        </w:rPr>
        <w:t>Authorized Signatory</w:t>
      </w:r>
      <w:r w:rsidRPr="00E66597">
        <w:t>: ______________________________________ (Name &amp; Title)</w:t>
      </w:r>
    </w:p>
    <w:p w14:paraId="70A00C2B" w14:textId="77777777" w:rsidR="00E66597" w:rsidRPr="00E66597" w:rsidRDefault="00E66597" w:rsidP="00E66597">
      <w:pPr>
        <w:numPr>
          <w:ilvl w:val="0"/>
          <w:numId w:val="1"/>
        </w:numPr>
      </w:pPr>
      <w:r w:rsidRPr="00E66597">
        <w:rPr>
          <w:i/>
          <w:iCs/>
        </w:rPr>
        <w:t xml:space="preserve">(Hereinafter referred to as the </w:t>
      </w:r>
      <w:r w:rsidRPr="00E66597">
        <w:rPr>
          <w:b/>
          <w:bCs/>
          <w:i/>
          <w:iCs/>
        </w:rPr>
        <w:t>"CUSTOMER"</w:t>
      </w:r>
      <w:r w:rsidRPr="00E66597">
        <w:rPr>
          <w:i/>
          <w:iCs/>
        </w:rPr>
        <w:t>)</w:t>
      </w:r>
    </w:p>
    <w:p w14:paraId="46FFB0FA" w14:textId="77777777" w:rsidR="00E66597" w:rsidRPr="00E66597" w:rsidRDefault="00E66597" w:rsidP="00E66597">
      <w:pPr>
        <w:rPr>
          <w:b/>
          <w:bCs/>
        </w:rPr>
      </w:pPr>
      <w:r w:rsidRPr="00E66597">
        <w:rPr>
          <w:b/>
          <w:bCs/>
        </w:rPr>
        <w:t>THE SERVICE PROVIDER / EXPORTER:</w:t>
      </w:r>
    </w:p>
    <w:p w14:paraId="5A353B43" w14:textId="77777777" w:rsidR="00E66597" w:rsidRPr="00E66597" w:rsidRDefault="00E66597" w:rsidP="00E66597">
      <w:pPr>
        <w:numPr>
          <w:ilvl w:val="0"/>
          <w:numId w:val="2"/>
        </w:numPr>
      </w:pPr>
      <w:r w:rsidRPr="00E66597">
        <w:rPr>
          <w:b/>
          <w:bCs/>
        </w:rPr>
        <w:t>Company Name</w:t>
      </w:r>
      <w:r w:rsidRPr="00E66597">
        <w:t xml:space="preserve">: </w:t>
      </w:r>
      <w:r w:rsidRPr="00E66597">
        <w:rPr>
          <w:b/>
          <w:bCs/>
        </w:rPr>
        <w:t>HFM GOLD TRADING LLC</w:t>
      </w:r>
    </w:p>
    <w:p w14:paraId="472F6E61" w14:textId="77777777" w:rsidR="00E66597" w:rsidRPr="00E66597" w:rsidRDefault="00E66597" w:rsidP="00E66597">
      <w:pPr>
        <w:numPr>
          <w:ilvl w:val="0"/>
          <w:numId w:val="2"/>
        </w:numPr>
      </w:pPr>
      <w:r w:rsidRPr="00E66597">
        <w:rPr>
          <w:b/>
          <w:bCs/>
        </w:rPr>
        <w:t>Registered Address</w:t>
      </w:r>
      <w:r w:rsidRPr="00E66597">
        <w:t>: Suite #126, Gold Land Building, Al Khor Street, Gold Souq, Deira, Dubai, United Arab Emirates</w:t>
      </w:r>
    </w:p>
    <w:p w14:paraId="01AA4E71" w14:textId="77777777" w:rsidR="00E66597" w:rsidRPr="00E66597" w:rsidRDefault="00E66597" w:rsidP="00E66597">
      <w:pPr>
        <w:numPr>
          <w:ilvl w:val="0"/>
          <w:numId w:val="2"/>
        </w:numPr>
      </w:pPr>
      <w:r w:rsidRPr="00E66597">
        <w:rPr>
          <w:b/>
          <w:bCs/>
        </w:rPr>
        <w:t>Trade License Number</w:t>
      </w:r>
      <w:r w:rsidRPr="00E66597">
        <w:t>: 817043 (Issued by the Dubai Department of Economy and Tourism)</w:t>
      </w:r>
    </w:p>
    <w:p w14:paraId="7D8FF84C" w14:textId="77777777" w:rsidR="00E66597" w:rsidRPr="00E66597" w:rsidRDefault="00E66597" w:rsidP="00E66597">
      <w:pPr>
        <w:numPr>
          <w:ilvl w:val="0"/>
          <w:numId w:val="2"/>
        </w:numPr>
      </w:pPr>
      <w:r w:rsidRPr="00E66597">
        <w:rPr>
          <w:b/>
          <w:bCs/>
        </w:rPr>
        <w:t>DMCC Registration No</w:t>
      </w:r>
      <w:r w:rsidRPr="00E66597">
        <w:t>: [●]</w:t>
      </w:r>
    </w:p>
    <w:p w14:paraId="1735851B" w14:textId="77777777" w:rsidR="00E66597" w:rsidRPr="00E66597" w:rsidRDefault="00E66597" w:rsidP="00E66597">
      <w:pPr>
        <w:numPr>
          <w:ilvl w:val="0"/>
          <w:numId w:val="2"/>
        </w:numPr>
      </w:pPr>
      <w:r w:rsidRPr="00E66597">
        <w:rPr>
          <w:b/>
          <w:bCs/>
        </w:rPr>
        <w:t>Official Email</w:t>
      </w:r>
      <w:r w:rsidRPr="00E66597">
        <w:t>: purchase@hfmgold.com</w:t>
      </w:r>
    </w:p>
    <w:p w14:paraId="7B4027CF" w14:textId="77777777" w:rsidR="00E66597" w:rsidRPr="00E66597" w:rsidRDefault="00E66597" w:rsidP="00E66597">
      <w:pPr>
        <w:numPr>
          <w:ilvl w:val="0"/>
          <w:numId w:val="2"/>
        </w:numPr>
      </w:pPr>
      <w:r w:rsidRPr="00E66597">
        <w:rPr>
          <w:b/>
          <w:bCs/>
        </w:rPr>
        <w:t>Contact Number</w:t>
      </w:r>
      <w:r w:rsidRPr="00E66597">
        <w:t>: +971 4 256 1899</w:t>
      </w:r>
    </w:p>
    <w:p w14:paraId="67442995" w14:textId="77777777" w:rsidR="00E66597" w:rsidRPr="00E66597" w:rsidRDefault="00E66597" w:rsidP="00E66597">
      <w:pPr>
        <w:numPr>
          <w:ilvl w:val="0"/>
          <w:numId w:val="2"/>
        </w:numPr>
      </w:pPr>
      <w:r w:rsidRPr="00E66597">
        <w:rPr>
          <w:b/>
          <w:bCs/>
        </w:rPr>
        <w:t>Authorized Signatory</w:t>
      </w:r>
      <w:r w:rsidRPr="00E66597">
        <w:t>: ______________________________________ (Name &amp; Title)</w:t>
      </w:r>
    </w:p>
    <w:p w14:paraId="3CFC1CDC" w14:textId="77777777" w:rsidR="00E66597" w:rsidRPr="00E66597" w:rsidRDefault="00E66597" w:rsidP="00E66597">
      <w:pPr>
        <w:numPr>
          <w:ilvl w:val="0"/>
          <w:numId w:val="2"/>
        </w:numPr>
      </w:pPr>
      <w:r w:rsidRPr="00E66597">
        <w:rPr>
          <w:i/>
          <w:iCs/>
        </w:rPr>
        <w:t xml:space="preserve">(Hereinafter referred to as the </w:t>
      </w:r>
      <w:r w:rsidRPr="00E66597">
        <w:rPr>
          <w:b/>
          <w:bCs/>
          <w:i/>
          <w:iCs/>
        </w:rPr>
        <w:t>"COMPANY"</w:t>
      </w:r>
      <w:r w:rsidRPr="00E66597">
        <w:rPr>
          <w:i/>
          <w:iCs/>
        </w:rPr>
        <w:t>)</w:t>
      </w:r>
    </w:p>
    <w:p w14:paraId="2EEBF4B2" w14:textId="77777777" w:rsidR="00E66597" w:rsidRPr="00E66597" w:rsidRDefault="00E66597" w:rsidP="00E66597">
      <w:r w:rsidRPr="00E66597">
        <w:pict w14:anchorId="6CF6AD39">
          <v:rect id="_x0000_i1097" style="width:0;height:1.5pt" o:hralign="center" o:hrstd="t" o:hr="t" fillcolor="#a0a0a0" stroked="f"/>
        </w:pict>
      </w:r>
    </w:p>
    <w:p w14:paraId="2D172329" w14:textId="77777777" w:rsidR="00E66597" w:rsidRPr="00E66597" w:rsidRDefault="00E66597" w:rsidP="00E66597">
      <w:pPr>
        <w:rPr>
          <w:b/>
          <w:bCs/>
        </w:rPr>
      </w:pPr>
      <w:r w:rsidRPr="00E66597">
        <w:rPr>
          <w:b/>
          <w:bCs/>
        </w:rPr>
        <w:t>2. CORE OPERATIONAL SCOPE</w:t>
      </w:r>
    </w:p>
    <w:p w14:paraId="6BACB535" w14:textId="77777777" w:rsidR="00E66597" w:rsidRPr="00E66597" w:rsidRDefault="00E66597" w:rsidP="00E66597">
      <w:r w:rsidRPr="00E66597">
        <w:t>The CUSTOMER appoints the COMPANY as its exclusive partner in Dubai to manage the logistics, customs handling, toll-refining, and international export of its gold. The agreed process operates under a continuous custody model:</w:t>
      </w:r>
    </w:p>
    <w:p w14:paraId="5BB09FDF" w14:textId="77777777" w:rsidR="00E66597" w:rsidRPr="00E66597" w:rsidRDefault="00E66597" w:rsidP="00E66597">
      <w:pPr>
        <w:numPr>
          <w:ilvl w:val="0"/>
          <w:numId w:val="3"/>
        </w:numPr>
      </w:pPr>
      <w:r w:rsidRPr="00E66597">
        <w:rPr>
          <w:b/>
          <w:bCs/>
        </w:rPr>
        <w:t>Inbound Customs &amp; Transport</w:t>
      </w:r>
      <w:r w:rsidRPr="00E66597">
        <w:t>: The COMPANY coordinates the clearance of raw Gold Dore Bars at Dubai airports and arranges secure transport to the refinery.</w:t>
      </w:r>
    </w:p>
    <w:p w14:paraId="21F22453" w14:textId="77777777" w:rsidR="00E66597" w:rsidRPr="00E66597" w:rsidRDefault="00E66597" w:rsidP="00E66597">
      <w:pPr>
        <w:numPr>
          <w:ilvl w:val="0"/>
          <w:numId w:val="3"/>
        </w:numPr>
      </w:pPr>
      <w:r w:rsidRPr="00E66597">
        <w:rPr>
          <w:b/>
          <w:bCs/>
        </w:rPr>
        <w:lastRenderedPageBreak/>
        <w:t>Toll Refining</w:t>
      </w:r>
      <w:r w:rsidRPr="00E66597">
        <w:t>: The COMPANY manages the melting, assaying, and conversion of the Dore bars into 999.9 fine investment-grade bullion.</w:t>
      </w:r>
    </w:p>
    <w:p w14:paraId="616856B9" w14:textId="77777777" w:rsidR="00E66597" w:rsidRPr="00E66597" w:rsidRDefault="00E66597" w:rsidP="00E66597">
      <w:pPr>
        <w:numPr>
          <w:ilvl w:val="0"/>
          <w:numId w:val="3"/>
        </w:numPr>
      </w:pPr>
      <w:r w:rsidRPr="00E66597">
        <w:rPr>
          <w:b/>
          <w:bCs/>
        </w:rPr>
        <w:t>Outbound Export</w:t>
      </w:r>
      <w:r w:rsidRPr="00E66597">
        <w:t xml:space="preserve">: The COMPANY handles the packaging, custom documentation via the Dubai Customs Mirsal 2 portal, and transit to the designated </w:t>
      </w:r>
      <w:r w:rsidRPr="00E66597">
        <w:rPr>
          <w:b/>
          <w:bCs/>
        </w:rPr>
        <w:t>Third-Party Destination Port</w:t>
      </w:r>
      <w:r w:rsidRPr="00E66597">
        <w:t>.</w:t>
      </w:r>
    </w:p>
    <w:p w14:paraId="7AD3D77D" w14:textId="77777777" w:rsidR="00E66597" w:rsidRPr="00E66597" w:rsidRDefault="00E66597" w:rsidP="00E66597">
      <w:r w:rsidRPr="00E66597">
        <w:pict w14:anchorId="4E604989">
          <v:rect id="_x0000_i1098" style="width:0;height:1.5pt" o:hralign="center" o:hrstd="t" o:hr="t" fillcolor="#a0a0a0" stroked="f"/>
        </w:pict>
      </w:r>
    </w:p>
    <w:p w14:paraId="2BFEBFE9" w14:textId="77777777" w:rsidR="00E66597" w:rsidRPr="00E66597" w:rsidRDefault="00E66597" w:rsidP="00E66597">
      <w:pPr>
        <w:rPr>
          <w:b/>
          <w:bCs/>
        </w:rPr>
      </w:pPr>
      <w:r w:rsidRPr="00E66597">
        <w:rPr>
          <w:b/>
          <w:bCs/>
        </w:rPr>
        <w:t>3. MANDATORY FEDERAL &amp; FREE ZONE REGULATORY COMPLIANCE</w:t>
      </w:r>
    </w:p>
    <w:p w14:paraId="67151DE4" w14:textId="77777777" w:rsidR="00E66597" w:rsidRPr="00E66597" w:rsidRDefault="00E66597" w:rsidP="00E66597">
      <w:r w:rsidRPr="00E66597">
        <w:rPr>
          <w:b/>
          <w:bCs/>
        </w:rPr>
        <w:t>3.1 Statutory Alignment</w:t>
      </w:r>
      <w:r w:rsidRPr="00E66597">
        <w:t>: Both Parties agree to comply with the UAE Ministry of Economy Due Diligence Regulations for Responsible Sourcing of Gold and UAE Federal Decree-Law No. 20 of 2018 on Anti-Money Laundering (AML/CFT).</w:t>
      </w:r>
      <w:r w:rsidRPr="00E66597">
        <w:br/>
      </w:r>
      <w:r w:rsidRPr="00E66597">
        <w:rPr>
          <w:b/>
          <w:bCs/>
        </w:rPr>
        <w:t>3.2 Traceability Requirements</w:t>
      </w:r>
      <w:r w:rsidRPr="00E66597">
        <w:t>: The CUSTOMER must provide clear chain-of-custody data before any shipment leaves the origin port. The gold must be conflict-free and completely clear of international sanctions.</w:t>
      </w:r>
      <w:r w:rsidRPr="00E66597">
        <w:br/>
      </w:r>
      <w:r w:rsidRPr="00E66597">
        <w:rPr>
          <w:b/>
          <w:bCs/>
        </w:rPr>
        <w:t xml:space="preserve">3.3 </w:t>
      </w:r>
      <w:proofErr w:type="spellStart"/>
      <w:r w:rsidRPr="00E66597">
        <w:rPr>
          <w:b/>
          <w:bCs/>
        </w:rPr>
        <w:t>goAML</w:t>
      </w:r>
      <w:proofErr w:type="spellEnd"/>
      <w:r w:rsidRPr="00E66597">
        <w:rPr>
          <w:b/>
          <w:bCs/>
        </w:rPr>
        <w:t xml:space="preserve"> Reporting Requirements</w:t>
      </w:r>
      <w:r w:rsidRPr="00E66597">
        <w:t xml:space="preserve">: Under </w:t>
      </w:r>
      <w:proofErr w:type="spellStart"/>
      <w:r w:rsidRPr="00E66597">
        <w:t>MoE</w:t>
      </w:r>
      <w:proofErr w:type="spellEnd"/>
      <w:r w:rsidRPr="00E66597">
        <w:t xml:space="preserve"> AML/CFT frameworks for Designated Non-Financial Businesses and Professions (DNFBPs), the COMPANY will halt operations and file a report via the federal </w:t>
      </w:r>
      <w:proofErr w:type="spellStart"/>
      <w:r w:rsidRPr="00E66597">
        <w:rPr>
          <w:b/>
          <w:bCs/>
        </w:rPr>
        <w:t>goAML</w:t>
      </w:r>
      <w:proofErr w:type="spellEnd"/>
      <w:r w:rsidRPr="00E66597">
        <w:rPr>
          <w:b/>
          <w:bCs/>
        </w:rPr>
        <w:t xml:space="preserve"> system</w:t>
      </w:r>
      <w:r w:rsidRPr="00E66597">
        <w:t xml:space="preserve"> if any paperwork shows anomalies or unverified sources.</w:t>
      </w:r>
    </w:p>
    <w:p w14:paraId="3028A246" w14:textId="77777777" w:rsidR="00E66597" w:rsidRPr="00E66597" w:rsidRDefault="00E66597" w:rsidP="00E66597">
      <w:r w:rsidRPr="00E66597">
        <w:pict w14:anchorId="5EF1E0EA">
          <v:rect id="_x0000_i1099" style="width:0;height:1.5pt" o:hralign="center" o:hrstd="t" o:hr="t" fillcolor="#a0a0a0" stroked="f"/>
        </w:pict>
      </w:r>
    </w:p>
    <w:p w14:paraId="21E6273B" w14:textId="77777777" w:rsidR="00E66597" w:rsidRPr="00E66597" w:rsidRDefault="00E66597" w:rsidP="00E66597">
      <w:pPr>
        <w:rPr>
          <w:b/>
          <w:bCs/>
        </w:rPr>
      </w:pPr>
      <w:r w:rsidRPr="00E66597">
        <w:rPr>
          <w:b/>
          <w:bCs/>
        </w:rPr>
        <w:t>4. INBOUND SHIPMENT PARAMETERS &amp; ASSAYING</w:t>
      </w:r>
    </w:p>
    <w:p w14:paraId="157BC712" w14:textId="77777777" w:rsidR="00E66597" w:rsidRPr="00E66597" w:rsidRDefault="00E66597" w:rsidP="00E66597">
      <w:pPr>
        <w:numPr>
          <w:ilvl w:val="0"/>
          <w:numId w:val="4"/>
        </w:numPr>
      </w:pPr>
      <w:r w:rsidRPr="00E66597">
        <w:rPr>
          <w:b/>
          <w:bCs/>
        </w:rPr>
        <w:t>Material Specification</w:t>
      </w:r>
      <w:r w:rsidRPr="00E66597">
        <w:t xml:space="preserve">: Unrefined Gold Dore Bars with a minimum gold content of </w:t>
      </w:r>
      <w:r w:rsidRPr="00E66597">
        <w:rPr>
          <w:b/>
          <w:bCs/>
        </w:rPr>
        <w:t>____ %</w:t>
      </w:r>
      <w:r w:rsidRPr="00E66597">
        <w:t>.</w:t>
      </w:r>
    </w:p>
    <w:p w14:paraId="4890BFB3" w14:textId="77777777" w:rsidR="00E66597" w:rsidRPr="00E66597" w:rsidRDefault="00E66597" w:rsidP="00E66597">
      <w:pPr>
        <w:numPr>
          <w:ilvl w:val="0"/>
          <w:numId w:val="4"/>
        </w:numPr>
      </w:pPr>
      <w:r w:rsidRPr="00E66597">
        <w:rPr>
          <w:b/>
          <w:bCs/>
        </w:rPr>
        <w:t>Refinery Intake Location</w:t>
      </w:r>
      <w:r w:rsidRPr="00E66597">
        <w:t xml:space="preserve">: Deliveries must be sent to an approved refinery or high-security facility (e.g., </w:t>
      </w:r>
      <w:proofErr w:type="spellStart"/>
      <w:r w:rsidRPr="00E66597">
        <w:t>Transguard</w:t>
      </w:r>
      <w:proofErr w:type="spellEnd"/>
      <w:r w:rsidRPr="00E66597">
        <w:t>, Brinks) within Dubai.</w:t>
      </w:r>
    </w:p>
    <w:p w14:paraId="74171EC6" w14:textId="77777777" w:rsidR="00E66597" w:rsidRPr="00E66597" w:rsidRDefault="00E66597" w:rsidP="00E66597">
      <w:pPr>
        <w:numPr>
          <w:ilvl w:val="0"/>
          <w:numId w:val="4"/>
        </w:numPr>
      </w:pPr>
      <w:r w:rsidRPr="00E66597">
        <w:rPr>
          <w:b/>
          <w:bCs/>
        </w:rPr>
        <w:t>Finality of Assay</w:t>
      </w:r>
      <w:r w:rsidRPr="00E66597">
        <w:t>: The official outturn report and weight certificate from the refinery will serve as the final legal record of fine gold mass. This report overrides all provisional export manifests [6.2].</w:t>
      </w:r>
    </w:p>
    <w:p w14:paraId="36048F96" w14:textId="77777777" w:rsidR="00E66597" w:rsidRPr="00E66597" w:rsidRDefault="00E66597" w:rsidP="00E66597">
      <w:r w:rsidRPr="00E66597">
        <w:pict w14:anchorId="004E4A2D">
          <v:rect id="_x0000_i1100" style="width:0;height:1.5pt" o:hralign="center" o:hrstd="t" o:hr="t" fillcolor="#a0a0a0" stroked="f"/>
        </w:pict>
      </w:r>
    </w:p>
    <w:p w14:paraId="6805387E" w14:textId="77777777" w:rsidR="00E66597" w:rsidRPr="00E66597" w:rsidRDefault="00E66597" w:rsidP="00E66597">
      <w:pPr>
        <w:rPr>
          <w:b/>
          <w:bCs/>
        </w:rPr>
      </w:pPr>
      <w:r w:rsidRPr="00E66597">
        <w:rPr>
          <w:b/>
          <w:bCs/>
        </w:rPr>
        <w:t>5. REFINING LOSSES, TOLL FEES, &amp; RECOVERY</w:t>
      </w:r>
    </w:p>
    <w:p w14:paraId="2B553329" w14:textId="77777777" w:rsidR="00E66597" w:rsidRPr="00E66597" w:rsidRDefault="00E66597" w:rsidP="00E66597">
      <w:pPr>
        <w:numPr>
          <w:ilvl w:val="0"/>
          <w:numId w:val="5"/>
        </w:numPr>
      </w:pPr>
      <w:r w:rsidRPr="00E66597">
        <w:rPr>
          <w:b/>
          <w:bCs/>
        </w:rPr>
        <w:t>Toll Refining Fee Structure</w:t>
      </w:r>
      <w:r w:rsidRPr="00E66597">
        <w:t xml:space="preserve">: The CUSTOMER shall pay the COMPANY a refining charge of </w:t>
      </w:r>
      <w:r w:rsidRPr="00E66597">
        <w:rPr>
          <w:b/>
          <w:bCs/>
        </w:rPr>
        <w:t>USD / AED ________ per gross kilogram</w:t>
      </w:r>
      <w:r w:rsidRPr="00E66597">
        <w:t xml:space="preserve"> processed.</w:t>
      </w:r>
    </w:p>
    <w:p w14:paraId="7E986942" w14:textId="77777777" w:rsidR="00E66597" w:rsidRPr="00E66597" w:rsidRDefault="00E66597" w:rsidP="00E66597">
      <w:pPr>
        <w:numPr>
          <w:ilvl w:val="0"/>
          <w:numId w:val="5"/>
        </w:numPr>
      </w:pPr>
      <w:r w:rsidRPr="00E66597">
        <w:rPr>
          <w:b/>
          <w:bCs/>
        </w:rPr>
        <w:t>Refining Retainage / Loss Allowance</w:t>
      </w:r>
      <w:r w:rsidRPr="00E66597">
        <w:t xml:space="preserve">: An execution loss factor of </w:t>
      </w:r>
      <w:r w:rsidRPr="00E66597">
        <w:rPr>
          <w:b/>
          <w:bCs/>
        </w:rPr>
        <w:t>____ %</w:t>
      </w:r>
      <w:r w:rsidRPr="00E66597">
        <w:t xml:space="preserve"> shall apply to the total fine gold content verified during smelting.</w:t>
      </w:r>
    </w:p>
    <w:p w14:paraId="380B001D" w14:textId="77777777" w:rsidR="00E66597" w:rsidRPr="00E66597" w:rsidRDefault="00E66597" w:rsidP="00E66597">
      <w:pPr>
        <w:numPr>
          <w:ilvl w:val="0"/>
          <w:numId w:val="5"/>
        </w:numPr>
      </w:pPr>
      <w:r w:rsidRPr="00E66597">
        <w:rPr>
          <w:b/>
          <w:bCs/>
        </w:rPr>
        <w:lastRenderedPageBreak/>
        <w:t>Storage Caps</w:t>
      </w:r>
      <w:r w:rsidRPr="00E66597">
        <w:t xml:space="preserve">: The COMPANY provides complimentary storage in a secure vault for up to </w:t>
      </w:r>
      <w:r w:rsidRPr="00E66597">
        <w:rPr>
          <w:b/>
          <w:bCs/>
        </w:rPr>
        <w:t>____ calendar days</w:t>
      </w:r>
      <w:r w:rsidRPr="00E66597">
        <w:t xml:space="preserve"> post-refining. Storage fees of </w:t>
      </w:r>
      <w:r w:rsidRPr="00E66597">
        <w:rPr>
          <w:b/>
          <w:bCs/>
        </w:rPr>
        <w:t>____ %</w:t>
      </w:r>
      <w:r w:rsidRPr="00E66597">
        <w:t xml:space="preserve"> of the metal value per week apply thereafter.</w:t>
      </w:r>
    </w:p>
    <w:p w14:paraId="19102B2F" w14:textId="77777777" w:rsidR="00E66597" w:rsidRPr="00E66597" w:rsidRDefault="00E66597" w:rsidP="00E66597">
      <w:r w:rsidRPr="00E66597">
        <w:pict w14:anchorId="568059AB">
          <v:rect id="_x0000_i1101" style="width:0;height:1.5pt" o:hralign="center" o:hrstd="t" o:hr="t" fillcolor="#a0a0a0" stroked="f"/>
        </w:pict>
      </w:r>
    </w:p>
    <w:p w14:paraId="1C556AF7" w14:textId="77777777" w:rsidR="00E66597" w:rsidRPr="00E66597" w:rsidRDefault="00E66597" w:rsidP="00E66597">
      <w:pPr>
        <w:rPr>
          <w:b/>
          <w:bCs/>
        </w:rPr>
      </w:pPr>
      <w:r w:rsidRPr="00E66597">
        <w:rPr>
          <w:b/>
          <w:bCs/>
        </w:rPr>
        <w:t>6. OUTBOUND EXPORT PROTOCOLS &amp; THIRD-PORT LOGISTICS</w:t>
      </w:r>
    </w:p>
    <w:p w14:paraId="13F544C0" w14:textId="77777777" w:rsidR="00E66597" w:rsidRPr="00E66597" w:rsidRDefault="00E66597" w:rsidP="00E66597">
      <w:r w:rsidRPr="00E66597">
        <w:rPr>
          <w:b/>
          <w:bCs/>
        </w:rPr>
        <w:t>6.1 Third-Party Destination Details</w:t>
      </w:r>
      <w:r w:rsidRPr="00E66597">
        <w:t>: Refined fine gold bullion will be exported to:</w:t>
      </w:r>
    </w:p>
    <w:p w14:paraId="435B2402" w14:textId="77777777" w:rsidR="00E66597" w:rsidRPr="00E66597" w:rsidRDefault="00E66597" w:rsidP="00E66597">
      <w:pPr>
        <w:numPr>
          <w:ilvl w:val="0"/>
          <w:numId w:val="6"/>
        </w:numPr>
      </w:pPr>
      <w:r w:rsidRPr="00E66597">
        <w:rPr>
          <w:b/>
          <w:bCs/>
        </w:rPr>
        <w:t>Target Destination Country</w:t>
      </w:r>
      <w:r w:rsidRPr="00E66597">
        <w:t>: ______________________________________</w:t>
      </w:r>
    </w:p>
    <w:p w14:paraId="1A814BA7" w14:textId="77777777" w:rsidR="00E66597" w:rsidRPr="00E66597" w:rsidRDefault="00E66597" w:rsidP="00E66597">
      <w:pPr>
        <w:numPr>
          <w:ilvl w:val="0"/>
          <w:numId w:val="6"/>
        </w:numPr>
      </w:pPr>
      <w:r w:rsidRPr="00E66597">
        <w:rPr>
          <w:b/>
          <w:bCs/>
        </w:rPr>
        <w:t>Designated Port of Entry</w:t>
      </w:r>
      <w:r w:rsidRPr="00E66597">
        <w:t>: ______________________________________</w:t>
      </w:r>
    </w:p>
    <w:p w14:paraId="6D4000DC" w14:textId="77777777" w:rsidR="00E66597" w:rsidRPr="00E66597" w:rsidRDefault="00E66597" w:rsidP="00E66597">
      <w:pPr>
        <w:numPr>
          <w:ilvl w:val="0"/>
          <w:numId w:val="6"/>
        </w:numPr>
      </w:pPr>
      <w:r w:rsidRPr="00E66597">
        <w:rPr>
          <w:b/>
          <w:bCs/>
        </w:rPr>
        <w:t>Consignee Name / Corporate Account</w:t>
      </w:r>
      <w:r w:rsidRPr="00E66597">
        <w:t>: ______________________________________</w:t>
      </w:r>
    </w:p>
    <w:p w14:paraId="4B6DE4CB" w14:textId="77777777" w:rsidR="00E66597" w:rsidRPr="00E66597" w:rsidRDefault="00E66597" w:rsidP="00E66597">
      <w:pPr>
        <w:numPr>
          <w:ilvl w:val="0"/>
          <w:numId w:val="6"/>
        </w:numPr>
      </w:pPr>
      <w:r w:rsidRPr="00E66597">
        <w:rPr>
          <w:b/>
          <w:bCs/>
        </w:rPr>
        <w:t>Consignee Registered Address</w:t>
      </w:r>
      <w:r w:rsidRPr="00E66597">
        <w:t>: ______________________________________</w:t>
      </w:r>
    </w:p>
    <w:p w14:paraId="51EF16BD" w14:textId="77777777" w:rsidR="00E66597" w:rsidRPr="00E66597" w:rsidRDefault="00E66597" w:rsidP="00E66597">
      <w:r w:rsidRPr="00E66597">
        <w:rPr>
          <w:b/>
          <w:bCs/>
        </w:rPr>
        <w:t>6.2 Customs Processing</w:t>
      </w:r>
      <w:r w:rsidRPr="00E66597">
        <w:t xml:space="preserve">: The COMPANY will manage all export declarations through the </w:t>
      </w:r>
      <w:r w:rsidRPr="00E66597">
        <w:rPr>
          <w:b/>
          <w:bCs/>
        </w:rPr>
        <w:t>Dubai Customs Mirsal 2 system</w:t>
      </w:r>
      <w:r w:rsidRPr="00E66597">
        <w:t>. This includes processing zero-rated export VAT filings and obtaining necessary security clearings.</w:t>
      </w:r>
      <w:r w:rsidRPr="00E66597">
        <w:br/>
      </w:r>
      <w:r w:rsidRPr="00E66597">
        <w:rPr>
          <w:b/>
          <w:bCs/>
        </w:rPr>
        <w:t>6.3 Logistics Provider</w:t>
      </w:r>
      <w:r w:rsidRPr="00E66597">
        <w:t xml:space="preserve">: Shipments must move via secure, insured global couriers (e.g., Brinks, Malca-Amit, </w:t>
      </w:r>
      <w:proofErr w:type="spellStart"/>
      <w:r w:rsidRPr="00E66597">
        <w:t>Transguard</w:t>
      </w:r>
      <w:proofErr w:type="spellEnd"/>
      <w:r w:rsidRPr="00E66597">
        <w:t>) under a direct air waybill (AWB) [5.1].</w:t>
      </w:r>
    </w:p>
    <w:p w14:paraId="5C482614" w14:textId="77777777" w:rsidR="00E66597" w:rsidRPr="00E66597" w:rsidRDefault="00E66597" w:rsidP="00E66597">
      <w:r w:rsidRPr="00E66597">
        <w:pict w14:anchorId="14FCCD3E">
          <v:rect id="_x0000_i1102" style="width:0;height:1.5pt" o:hralign="center" o:hrstd="t" o:hr="t" fillcolor="#a0a0a0" stroked="f"/>
        </w:pict>
      </w:r>
    </w:p>
    <w:p w14:paraId="56E9A9CD" w14:textId="77777777" w:rsidR="00E66597" w:rsidRPr="00E66597" w:rsidRDefault="00E66597" w:rsidP="00E66597">
      <w:pPr>
        <w:rPr>
          <w:b/>
          <w:bCs/>
        </w:rPr>
      </w:pPr>
      <w:r w:rsidRPr="00E66597">
        <w:rPr>
          <w:b/>
          <w:bCs/>
        </w:rPr>
        <w:t>7. STIPULATIONS ON TRANSFER OF RISK AND TITLE</w:t>
      </w:r>
    </w:p>
    <w:p w14:paraId="5D2403D3" w14:textId="77777777" w:rsidR="00E66597" w:rsidRPr="00E66597" w:rsidRDefault="00E66597" w:rsidP="00E66597">
      <w:pPr>
        <w:numPr>
          <w:ilvl w:val="0"/>
          <w:numId w:val="7"/>
        </w:numPr>
      </w:pPr>
      <w:r w:rsidRPr="00E66597">
        <w:rPr>
          <w:b/>
          <w:bCs/>
        </w:rPr>
        <w:t>Custody Risks</w:t>
      </w:r>
      <w:r w:rsidRPr="00E66597">
        <w:t>: Risk of loss remains with the CUSTOMER until the refinery accepts the shipment inside its secure intake vault [5.4]. The COMPANY assumes custody risks during toll-refining and outbound transport up to the target destination port's arrival terminal [5.4].</w:t>
      </w:r>
    </w:p>
    <w:p w14:paraId="49B39423" w14:textId="77777777" w:rsidR="00E66597" w:rsidRPr="00E66597" w:rsidRDefault="00E66597" w:rsidP="00E66597">
      <w:pPr>
        <w:numPr>
          <w:ilvl w:val="0"/>
          <w:numId w:val="7"/>
        </w:numPr>
      </w:pPr>
      <w:r w:rsidRPr="00E66597">
        <w:rPr>
          <w:b/>
          <w:bCs/>
        </w:rPr>
        <w:t>Retention of Title</w:t>
      </w:r>
      <w:r w:rsidRPr="00E66597">
        <w:t>: Legal title to the underlying gold remains with the CUSTOMER throughout the refining process. The COMPANY acts solely as an authorized bailee, service provider, and licensed exporter [2].</w:t>
      </w:r>
    </w:p>
    <w:p w14:paraId="0946DE6E" w14:textId="77777777" w:rsidR="00E66597" w:rsidRPr="00E66597" w:rsidRDefault="00E66597" w:rsidP="00E66597">
      <w:r w:rsidRPr="00E66597">
        <w:pict w14:anchorId="415A7666">
          <v:rect id="_x0000_i1103" style="width:0;height:1.5pt" o:hralign="center" o:hrstd="t" o:hr="t" fillcolor="#a0a0a0" stroked="f"/>
        </w:pict>
      </w:r>
    </w:p>
    <w:p w14:paraId="7ECFE205" w14:textId="77777777" w:rsidR="00E66597" w:rsidRPr="00E66597" w:rsidRDefault="00E66597" w:rsidP="00E66597">
      <w:pPr>
        <w:rPr>
          <w:b/>
          <w:bCs/>
          <w:lang w:val="pt-PT"/>
        </w:rPr>
      </w:pPr>
      <w:r w:rsidRPr="00E66597">
        <w:rPr>
          <w:b/>
          <w:bCs/>
          <w:lang w:val="pt-PT"/>
        </w:rPr>
        <w:t>8. ZERO-TOLERANCE ANTI-FINANCIAL CRIME CONTROLS</w:t>
      </w:r>
    </w:p>
    <w:p w14:paraId="081EE5A3" w14:textId="77777777" w:rsidR="00E66597" w:rsidRPr="00E66597" w:rsidRDefault="00E66597" w:rsidP="00E66597">
      <w:r w:rsidRPr="00E66597">
        <w:t>To comply with the Emirates Gold Bullion Committee guidelines and international anti-smuggling frameworks, both Parties agree to the following financial conditions:</w:t>
      </w:r>
    </w:p>
    <w:p w14:paraId="245C4F98" w14:textId="77777777" w:rsidR="00E66597" w:rsidRPr="00E66597" w:rsidRDefault="00E66597" w:rsidP="00E66597">
      <w:pPr>
        <w:numPr>
          <w:ilvl w:val="0"/>
          <w:numId w:val="8"/>
        </w:numPr>
      </w:pPr>
      <w:r w:rsidRPr="00E66597">
        <w:rPr>
          <w:b/>
          <w:bCs/>
        </w:rPr>
        <w:t>No Third-Party Bank Accounts</w:t>
      </w:r>
      <w:r w:rsidRPr="00E66597">
        <w:t>: Payments for refining fees or logistics costs must come from bank accounts registered directly in the CUSTOMER’s corporate name [8.3].</w:t>
      </w:r>
    </w:p>
    <w:p w14:paraId="04664899" w14:textId="77777777" w:rsidR="00E66597" w:rsidRPr="00E66597" w:rsidRDefault="00E66597" w:rsidP="00E66597">
      <w:pPr>
        <w:numPr>
          <w:ilvl w:val="0"/>
          <w:numId w:val="8"/>
        </w:numPr>
      </w:pPr>
      <w:r w:rsidRPr="00E66597">
        <w:rPr>
          <w:b/>
          <w:bCs/>
        </w:rPr>
        <w:lastRenderedPageBreak/>
        <w:t>Prohibition of Cash and Crypto</w:t>
      </w:r>
      <w:r w:rsidRPr="00E66597">
        <w:t>: Physical cash payments and cryptocurrency transfers are strictly prohibited [8.3].</w:t>
      </w:r>
    </w:p>
    <w:p w14:paraId="62FBC8E8" w14:textId="77777777" w:rsidR="00E66597" w:rsidRPr="00E66597" w:rsidRDefault="00E66597" w:rsidP="00E66597">
      <w:r w:rsidRPr="00E66597">
        <w:pict w14:anchorId="467D0DB5">
          <v:rect id="_x0000_i1104" style="width:0;height:1.5pt" o:hralign="center" o:hrstd="t" o:hr="t" fillcolor="#a0a0a0" stroked="f"/>
        </w:pict>
      </w:r>
    </w:p>
    <w:p w14:paraId="70575661" w14:textId="77777777" w:rsidR="00E66597" w:rsidRPr="00E66597" w:rsidRDefault="00E66597" w:rsidP="00E66597">
      <w:pPr>
        <w:rPr>
          <w:b/>
          <w:bCs/>
        </w:rPr>
      </w:pPr>
      <w:r w:rsidRPr="00E66597">
        <w:rPr>
          <w:b/>
          <w:bCs/>
        </w:rPr>
        <w:t>9. INDEMNIFICATION AND LIABILITY LIMITS</w:t>
      </w:r>
    </w:p>
    <w:p w14:paraId="6199A8DE" w14:textId="77777777" w:rsidR="00E66597" w:rsidRPr="00E66597" w:rsidRDefault="00E66597" w:rsidP="00E66597">
      <w:pPr>
        <w:numPr>
          <w:ilvl w:val="0"/>
          <w:numId w:val="9"/>
        </w:numPr>
      </w:pPr>
      <w:r w:rsidRPr="00E66597">
        <w:rPr>
          <w:b/>
          <w:bCs/>
        </w:rPr>
        <w:t>Customer Indemnity</w:t>
      </w:r>
      <w:r w:rsidRPr="00E66597">
        <w:t>: The CUSTOMER will fully indemnify the COMPANY against any regulatory fines, customs delays, asset seizures, or legal claims resulting from falsified origin certificates, undeclared minerals, or violations of international transport laws [10.1].</w:t>
      </w:r>
    </w:p>
    <w:p w14:paraId="5EF04090" w14:textId="77777777" w:rsidR="00E66597" w:rsidRPr="00E66597" w:rsidRDefault="00E66597" w:rsidP="00E66597">
      <w:pPr>
        <w:numPr>
          <w:ilvl w:val="0"/>
          <w:numId w:val="9"/>
        </w:numPr>
      </w:pPr>
      <w:r w:rsidRPr="00E66597">
        <w:rPr>
          <w:b/>
          <w:bCs/>
        </w:rPr>
        <w:t>Company Liability Caps</w:t>
      </w:r>
      <w:r w:rsidRPr="00E66597">
        <w:t>: The COMPANY is not liable for structural market price changes, geopolitical airport closures, or local customs holds at the third-port destination [10.2]. Total liability is strictly limited to the direct replacement cost of the fine gold weight verified in the official refinery outturn report [10.2].</w:t>
      </w:r>
    </w:p>
    <w:p w14:paraId="41E9AE14" w14:textId="77777777" w:rsidR="00E66597" w:rsidRPr="00E66597" w:rsidRDefault="00E66597" w:rsidP="00E66597">
      <w:r w:rsidRPr="00E66597">
        <w:pict w14:anchorId="4683ACC0">
          <v:rect id="_x0000_i1105" style="width:0;height:1.5pt" o:hralign="center" o:hrstd="t" o:hr="t" fillcolor="#a0a0a0" stroked="f"/>
        </w:pict>
      </w:r>
    </w:p>
    <w:p w14:paraId="3CC7FFF8" w14:textId="77777777" w:rsidR="00E66597" w:rsidRPr="00E66597" w:rsidRDefault="00E66597" w:rsidP="00E66597">
      <w:pPr>
        <w:rPr>
          <w:b/>
          <w:bCs/>
        </w:rPr>
      </w:pPr>
      <w:r w:rsidRPr="00E66597">
        <w:rPr>
          <w:b/>
          <w:bCs/>
        </w:rPr>
        <w:t>10. COMPLIANCE-BASED SUSPENSION &amp; TERMINATION</w:t>
      </w:r>
    </w:p>
    <w:p w14:paraId="5FB3AA9A" w14:textId="77777777" w:rsidR="00E66597" w:rsidRPr="00E66597" w:rsidRDefault="00E66597" w:rsidP="00E66597">
      <w:r w:rsidRPr="00E66597">
        <w:t>The COMPANY reserves the right to immediately suspend refining or cancel an outbound export shipment if:</w:t>
      </w:r>
    </w:p>
    <w:p w14:paraId="0AA4CA2A" w14:textId="77777777" w:rsidR="00E66597" w:rsidRPr="00E66597" w:rsidRDefault="00E66597" w:rsidP="00E66597">
      <w:pPr>
        <w:numPr>
          <w:ilvl w:val="0"/>
          <w:numId w:val="10"/>
        </w:numPr>
      </w:pPr>
      <w:r w:rsidRPr="00E66597">
        <w:t>The CUSTOMER fails to provide valid export permits or origin documentation.</w:t>
      </w:r>
    </w:p>
    <w:p w14:paraId="6EEC562B" w14:textId="77777777" w:rsidR="00E66597" w:rsidRPr="00E66597" w:rsidRDefault="00E66597" w:rsidP="00E66597">
      <w:pPr>
        <w:numPr>
          <w:ilvl w:val="0"/>
          <w:numId w:val="10"/>
        </w:numPr>
      </w:pPr>
      <w:r w:rsidRPr="00E66597">
        <w:t xml:space="preserve">The shipment is flagged by </w:t>
      </w:r>
      <w:hyperlink r:id="rId5" w:tgtFrame="_blank" w:history="1">
        <w:r w:rsidRPr="00E66597">
          <w:rPr>
            <w:rStyle w:val="Hyperlink"/>
          </w:rPr>
          <w:t>Dubai Customs</w:t>
        </w:r>
      </w:hyperlink>
      <w:r w:rsidRPr="00E66597">
        <w:t xml:space="preserve"> or UAE federal regulators [11].</w:t>
      </w:r>
    </w:p>
    <w:p w14:paraId="7BB29033" w14:textId="77777777" w:rsidR="00E66597" w:rsidRPr="00E66597" w:rsidRDefault="00E66597" w:rsidP="00E66597">
      <w:pPr>
        <w:numPr>
          <w:ilvl w:val="0"/>
          <w:numId w:val="10"/>
        </w:numPr>
      </w:pPr>
      <w:r w:rsidRPr="00E66597">
        <w:t>The designated third-port consignee faces new international sanctions [11].</w:t>
      </w:r>
    </w:p>
    <w:p w14:paraId="0C52F9FA" w14:textId="77777777" w:rsidR="00E66597" w:rsidRPr="00E66597" w:rsidRDefault="00E66597" w:rsidP="00E66597">
      <w:r w:rsidRPr="00E66597">
        <w:pict w14:anchorId="44870CFA">
          <v:rect id="_x0000_i1106" style="width:0;height:1.5pt" o:hralign="center" o:hrstd="t" o:hr="t" fillcolor="#a0a0a0" stroked="f"/>
        </w:pict>
      </w:r>
    </w:p>
    <w:p w14:paraId="664CB2A0" w14:textId="77777777" w:rsidR="00E66597" w:rsidRPr="00E66597" w:rsidRDefault="00E66597" w:rsidP="00E66597">
      <w:pPr>
        <w:rPr>
          <w:b/>
          <w:bCs/>
        </w:rPr>
      </w:pPr>
      <w:r w:rsidRPr="00E66597">
        <w:rPr>
          <w:b/>
          <w:bCs/>
        </w:rPr>
        <w:t>11. GOVERNING LAW AND JURISDICTION</w:t>
      </w:r>
    </w:p>
    <w:p w14:paraId="276D96EB" w14:textId="77777777" w:rsidR="00E66597" w:rsidRPr="00E66597" w:rsidRDefault="00E66597" w:rsidP="00E66597">
      <w:pPr>
        <w:numPr>
          <w:ilvl w:val="0"/>
          <w:numId w:val="11"/>
        </w:numPr>
      </w:pPr>
      <w:r w:rsidRPr="00E66597">
        <w:rPr>
          <w:b/>
          <w:bCs/>
        </w:rPr>
        <w:t>Governing Law</w:t>
      </w:r>
      <w:r w:rsidRPr="00E66597">
        <w:t>: This Agreement is governed by the Federal Laws of the United Arab Emirates and the local regulations of the Emirate of Dubai [12.1].</w:t>
      </w:r>
    </w:p>
    <w:p w14:paraId="32437357" w14:textId="77777777" w:rsidR="00E66597" w:rsidRPr="00E66597" w:rsidRDefault="00E66597" w:rsidP="00E66597">
      <w:pPr>
        <w:numPr>
          <w:ilvl w:val="0"/>
          <w:numId w:val="11"/>
        </w:numPr>
      </w:pPr>
      <w:r w:rsidRPr="00E66597">
        <w:rPr>
          <w:b/>
          <w:bCs/>
        </w:rPr>
        <w:t>Primary Dispute Resolution</w:t>
      </w:r>
      <w:r w:rsidRPr="00E66597">
        <w:t xml:space="preserve">: Disputes that cannot be resolved through amicable discussion will be submitted to the exclusive jurisdiction of the </w:t>
      </w:r>
      <w:r w:rsidRPr="00E66597">
        <w:rPr>
          <w:b/>
          <w:bCs/>
        </w:rPr>
        <w:t>Dubai Courts</w:t>
      </w:r>
      <w:r w:rsidRPr="00E66597">
        <w:t xml:space="preserve"> [12.2].</w:t>
      </w:r>
    </w:p>
    <w:p w14:paraId="60AC8C66" w14:textId="77777777" w:rsidR="00E66597" w:rsidRPr="00E66597" w:rsidRDefault="00E66597" w:rsidP="00E66597">
      <w:pPr>
        <w:numPr>
          <w:ilvl w:val="0"/>
          <w:numId w:val="11"/>
        </w:numPr>
      </w:pPr>
      <w:r w:rsidRPr="00E66597">
        <w:rPr>
          <w:b/>
          <w:bCs/>
        </w:rPr>
        <w:t>Optional Arbitration</w:t>
      </w:r>
      <w:r w:rsidRPr="00E66597">
        <w:t xml:space="preserve">: By mutual written consent, the Parties may submit unresolved disputes to binding arbitration under the rules of the </w:t>
      </w:r>
      <w:r w:rsidRPr="00E66597">
        <w:rPr>
          <w:b/>
          <w:bCs/>
        </w:rPr>
        <w:t>Dubai International Arbitration Centre (DIAC)</w:t>
      </w:r>
      <w:r w:rsidRPr="00E66597">
        <w:t xml:space="preserve"> [12.3].</w:t>
      </w:r>
    </w:p>
    <w:p w14:paraId="5692FCF2" w14:textId="77777777" w:rsidR="00E66597" w:rsidRPr="00E66597" w:rsidRDefault="00E66597" w:rsidP="00E66597">
      <w:r w:rsidRPr="00E66597">
        <w:pict w14:anchorId="0C09BAC0">
          <v:rect id="_x0000_i1107" style="width:0;height:1.5pt" o:hralign="center" o:hrstd="t" o:hr="t" fillcolor="#a0a0a0" stroked="f"/>
        </w:pict>
      </w:r>
    </w:p>
    <w:p w14:paraId="5FFEAC39" w14:textId="77777777" w:rsidR="00E66597" w:rsidRPr="00E66597" w:rsidRDefault="00E66597" w:rsidP="00E66597">
      <w:pPr>
        <w:rPr>
          <w:b/>
          <w:bCs/>
        </w:rPr>
      </w:pPr>
      <w:r w:rsidRPr="00E66597">
        <w:rPr>
          <w:b/>
          <w:bCs/>
        </w:rPr>
        <w:t>Schedule "A": Mandatory Customs Clearance Pack (Inbound &amp; Outbound)</w:t>
      </w:r>
    </w:p>
    <w:p w14:paraId="4821FE84" w14:textId="77777777" w:rsidR="00E66597" w:rsidRPr="00E66597" w:rsidRDefault="00E66597" w:rsidP="00E66597">
      <w:r w:rsidRPr="00E66597">
        <w:rPr>
          <w:i/>
          <w:iCs/>
        </w:rPr>
        <w:t>(Must be verified by the COMPANY compliance desk prior to refinery intake)</w:t>
      </w:r>
      <w:r w:rsidRPr="00E66597">
        <w:t xml:space="preserve"> [11]</w:t>
      </w:r>
    </w:p>
    <w:p w14:paraId="5B2DF8CD" w14:textId="77777777" w:rsidR="00E66597" w:rsidRPr="00E66597" w:rsidRDefault="00E66597" w:rsidP="00E66597">
      <w:pPr>
        <w:numPr>
          <w:ilvl w:val="0"/>
          <w:numId w:val="12"/>
        </w:numPr>
      </w:pPr>
      <w:r w:rsidRPr="00E66597">
        <w:rPr>
          <w:b/>
          <w:bCs/>
        </w:rPr>
        <w:lastRenderedPageBreak/>
        <w:t>Air Waybill (AWB)</w:t>
      </w:r>
      <w:r w:rsidRPr="00E66597">
        <w:t xml:space="preserve"> tracking the inbound shipment to Dubai.</w:t>
      </w:r>
    </w:p>
    <w:p w14:paraId="0DAEAB10" w14:textId="77777777" w:rsidR="00E66597" w:rsidRPr="00E66597" w:rsidRDefault="00E66597" w:rsidP="00E66597">
      <w:pPr>
        <w:numPr>
          <w:ilvl w:val="0"/>
          <w:numId w:val="12"/>
        </w:numPr>
      </w:pPr>
      <w:r w:rsidRPr="00E66597">
        <w:rPr>
          <w:b/>
          <w:bCs/>
        </w:rPr>
        <w:t>Original Commercial Invoice</w:t>
      </w:r>
      <w:r w:rsidRPr="00E66597">
        <w:t xml:space="preserve"> and detailed packing list.</w:t>
      </w:r>
    </w:p>
    <w:p w14:paraId="00E54F72" w14:textId="77777777" w:rsidR="00E66597" w:rsidRPr="00E66597" w:rsidRDefault="00E66597" w:rsidP="00E66597">
      <w:pPr>
        <w:numPr>
          <w:ilvl w:val="0"/>
          <w:numId w:val="12"/>
        </w:numPr>
      </w:pPr>
      <w:r w:rsidRPr="00E66597">
        <w:rPr>
          <w:b/>
          <w:bCs/>
        </w:rPr>
        <w:t>Certificate of Origin</w:t>
      </w:r>
      <w:r w:rsidRPr="00E66597">
        <w:t xml:space="preserve"> from an authorized government agency.</w:t>
      </w:r>
    </w:p>
    <w:p w14:paraId="78257897" w14:textId="77777777" w:rsidR="00E66597" w:rsidRPr="00E66597" w:rsidRDefault="00E66597" w:rsidP="00E66597">
      <w:pPr>
        <w:numPr>
          <w:ilvl w:val="0"/>
          <w:numId w:val="12"/>
        </w:numPr>
      </w:pPr>
      <w:r w:rsidRPr="00E66597">
        <w:rPr>
          <w:b/>
          <w:bCs/>
        </w:rPr>
        <w:t>Valid Mining Concession/License</w:t>
      </w:r>
      <w:r w:rsidRPr="00E66597">
        <w:t xml:space="preserve"> from the country of origin.</w:t>
      </w:r>
    </w:p>
    <w:p w14:paraId="50903131" w14:textId="77777777" w:rsidR="00E66597" w:rsidRPr="00E66597" w:rsidRDefault="00E66597" w:rsidP="00E66597">
      <w:pPr>
        <w:numPr>
          <w:ilvl w:val="0"/>
          <w:numId w:val="12"/>
        </w:numPr>
      </w:pPr>
      <w:r w:rsidRPr="00E66597">
        <w:rPr>
          <w:b/>
          <w:bCs/>
        </w:rPr>
        <w:t>Export Clearance Certificate</w:t>
      </w:r>
      <w:r w:rsidRPr="00E66597">
        <w:t xml:space="preserve"> issued by the exit port's customs authority.</w:t>
      </w:r>
    </w:p>
    <w:p w14:paraId="46BBFF3D" w14:textId="77777777" w:rsidR="00E66597" w:rsidRPr="00E66597" w:rsidRDefault="00E66597" w:rsidP="00E66597">
      <w:pPr>
        <w:numPr>
          <w:ilvl w:val="0"/>
          <w:numId w:val="12"/>
        </w:numPr>
      </w:pPr>
      <w:r w:rsidRPr="00E66597">
        <w:rPr>
          <w:b/>
          <w:bCs/>
        </w:rPr>
        <w:t>Dubai Customs Inbound Entry Bill</w:t>
      </w:r>
      <w:r w:rsidRPr="00E66597">
        <w:t>.</w:t>
      </w:r>
    </w:p>
    <w:p w14:paraId="353BAA37" w14:textId="77777777" w:rsidR="00E66597" w:rsidRPr="00E66597" w:rsidRDefault="00E66597" w:rsidP="00E66597">
      <w:pPr>
        <w:numPr>
          <w:ilvl w:val="0"/>
          <w:numId w:val="12"/>
        </w:numPr>
      </w:pPr>
      <w:r w:rsidRPr="00E66597">
        <w:rPr>
          <w:b/>
          <w:bCs/>
        </w:rPr>
        <w:t>Consignee Authorization Form</w:t>
      </w:r>
      <w:r w:rsidRPr="00E66597">
        <w:t xml:space="preserve"> for the third-port destination [6.1].</w:t>
      </w:r>
    </w:p>
    <w:p w14:paraId="4CFDDEC4" w14:textId="77777777" w:rsidR="00E66597" w:rsidRPr="00E66597" w:rsidRDefault="00E66597" w:rsidP="00E66597">
      <w:r w:rsidRPr="00E66597">
        <w:pict w14:anchorId="6C4E08C0">
          <v:rect id="_x0000_i1108" style="width:0;height:1.5pt" o:hralign="center" o:hrstd="t" o:hr="t" fillcolor="#a0a0a0" stroked="f"/>
        </w:pict>
      </w:r>
    </w:p>
    <w:p w14:paraId="4257D66D" w14:textId="77777777" w:rsidR="00E66597" w:rsidRPr="00E66597" w:rsidRDefault="00E66597" w:rsidP="00E66597">
      <w:pPr>
        <w:rPr>
          <w:b/>
          <w:bCs/>
        </w:rPr>
      </w:pPr>
      <w:r w:rsidRPr="00E66597">
        <w:rPr>
          <w:b/>
          <w:bCs/>
        </w:rPr>
        <w:t>12. EXECUTION AND SIGNATURES</w:t>
      </w:r>
    </w:p>
    <w:p w14:paraId="3EC9E98A" w14:textId="77777777" w:rsidR="00E66597" w:rsidRPr="00E66597" w:rsidRDefault="00E66597" w:rsidP="00E66597">
      <w:r w:rsidRPr="00E66597">
        <w:rPr>
          <w:b/>
          <w:bCs/>
        </w:rPr>
        <w:t>IN WITNESS WHEREOF</w:t>
      </w:r>
      <w:r w:rsidRPr="00E66597">
        <w:t>, the Parties have executed this Toll Refining and Outbound Export Agreement through their legally authorized representatives on the date written above.</w:t>
      </w:r>
    </w:p>
    <w:p w14:paraId="63113A15" w14:textId="77777777" w:rsidR="00E66597" w:rsidRPr="00E66597" w:rsidRDefault="00E66597" w:rsidP="00E66597">
      <w:pPr>
        <w:rPr>
          <w:b/>
          <w:bCs/>
        </w:rPr>
      </w:pPr>
      <w:r w:rsidRPr="00E66597">
        <w:rPr>
          <w:b/>
          <w:bCs/>
        </w:rPr>
        <w:t>FOR THE CUSTOMER: [______________________________________]</w:t>
      </w:r>
    </w:p>
    <w:p w14:paraId="26EE2780" w14:textId="77777777" w:rsidR="00E66597" w:rsidRPr="00E66597" w:rsidRDefault="00E66597" w:rsidP="00E66597">
      <w:pPr>
        <w:numPr>
          <w:ilvl w:val="0"/>
          <w:numId w:val="13"/>
        </w:numPr>
      </w:pPr>
      <w:r w:rsidRPr="00E66597">
        <w:rPr>
          <w:b/>
          <w:bCs/>
        </w:rPr>
        <w:t>Name of Signatory</w:t>
      </w:r>
      <w:r w:rsidRPr="00E66597">
        <w:t>: ______________________________________</w:t>
      </w:r>
    </w:p>
    <w:p w14:paraId="196E143F" w14:textId="77777777" w:rsidR="00E66597" w:rsidRPr="00E66597" w:rsidRDefault="00E66597" w:rsidP="00E66597">
      <w:pPr>
        <w:numPr>
          <w:ilvl w:val="0"/>
          <w:numId w:val="13"/>
        </w:numPr>
      </w:pPr>
      <w:r w:rsidRPr="00E66597">
        <w:rPr>
          <w:b/>
          <w:bCs/>
        </w:rPr>
        <w:t>Designated Corporate Title</w:t>
      </w:r>
      <w:r w:rsidRPr="00E66597">
        <w:t>: ______________________________________</w:t>
      </w:r>
    </w:p>
    <w:p w14:paraId="2F0B77F3" w14:textId="77777777" w:rsidR="00E66597" w:rsidRPr="00E66597" w:rsidRDefault="00E66597" w:rsidP="00E66597">
      <w:pPr>
        <w:numPr>
          <w:ilvl w:val="0"/>
          <w:numId w:val="13"/>
        </w:numPr>
      </w:pPr>
      <w:r w:rsidRPr="00E66597">
        <w:rPr>
          <w:b/>
          <w:bCs/>
        </w:rPr>
        <w:t>Authorized Signature</w:t>
      </w:r>
      <w:r w:rsidRPr="00E66597">
        <w:t>: ___________________________________</w:t>
      </w:r>
    </w:p>
    <w:p w14:paraId="66056E8E" w14:textId="77777777" w:rsidR="00E66597" w:rsidRPr="00E66597" w:rsidRDefault="00E66597" w:rsidP="00E66597">
      <w:pPr>
        <w:numPr>
          <w:ilvl w:val="0"/>
          <w:numId w:val="13"/>
        </w:numPr>
      </w:pPr>
      <w:r w:rsidRPr="00E66597">
        <w:rPr>
          <w:b/>
          <w:bCs/>
        </w:rPr>
        <w:t>Corporate Stamp</w:t>
      </w:r>
      <w:r w:rsidRPr="00E66597">
        <w:t>:</w:t>
      </w:r>
    </w:p>
    <w:p w14:paraId="796F3026" w14:textId="77777777" w:rsidR="00E66597" w:rsidRPr="00E66597" w:rsidRDefault="00E66597" w:rsidP="00E66597">
      <w:pPr>
        <w:rPr>
          <w:b/>
          <w:bCs/>
        </w:rPr>
      </w:pPr>
      <w:r w:rsidRPr="00E66597">
        <w:rPr>
          <w:b/>
          <w:bCs/>
        </w:rPr>
        <w:t>FOR THE SERVICE PROVIDER: HFM GOLD TRADING LLC</w:t>
      </w:r>
    </w:p>
    <w:p w14:paraId="39971798" w14:textId="77777777" w:rsidR="00E66597" w:rsidRPr="00E66597" w:rsidRDefault="00E66597" w:rsidP="00E66597">
      <w:pPr>
        <w:numPr>
          <w:ilvl w:val="0"/>
          <w:numId w:val="14"/>
        </w:numPr>
      </w:pPr>
      <w:r w:rsidRPr="00E66597">
        <w:rPr>
          <w:b/>
          <w:bCs/>
        </w:rPr>
        <w:t>Name of Signatory</w:t>
      </w:r>
      <w:r w:rsidRPr="00E66597">
        <w:t>: ______________________________________</w:t>
      </w:r>
    </w:p>
    <w:p w14:paraId="7470EA5F" w14:textId="77777777" w:rsidR="00E66597" w:rsidRPr="00E66597" w:rsidRDefault="00E66597" w:rsidP="00E66597">
      <w:pPr>
        <w:numPr>
          <w:ilvl w:val="0"/>
          <w:numId w:val="14"/>
        </w:numPr>
      </w:pPr>
      <w:r w:rsidRPr="00E66597">
        <w:rPr>
          <w:b/>
          <w:bCs/>
        </w:rPr>
        <w:t>Designated Corporate Title</w:t>
      </w:r>
      <w:r w:rsidRPr="00E66597">
        <w:t>: ______________________________________</w:t>
      </w:r>
    </w:p>
    <w:p w14:paraId="2ADC3BA5" w14:textId="77777777" w:rsidR="00E66597" w:rsidRPr="00E66597" w:rsidRDefault="00E66597" w:rsidP="00E66597">
      <w:pPr>
        <w:numPr>
          <w:ilvl w:val="0"/>
          <w:numId w:val="14"/>
        </w:numPr>
      </w:pPr>
      <w:r w:rsidRPr="00E66597">
        <w:rPr>
          <w:b/>
          <w:bCs/>
        </w:rPr>
        <w:t>Authorized Signature</w:t>
      </w:r>
      <w:r w:rsidRPr="00E66597">
        <w:t>: ___________________________________</w:t>
      </w:r>
    </w:p>
    <w:p w14:paraId="5DE8E99A" w14:textId="77777777" w:rsidR="00E66597" w:rsidRPr="00E66597" w:rsidRDefault="00E66597" w:rsidP="00E66597">
      <w:pPr>
        <w:numPr>
          <w:ilvl w:val="0"/>
          <w:numId w:val="14"/>
        </w:numPr>
      </w:pPr>
      <w:r w:rsidRPr="00E66597">
        <w:rPr>
          <w:b/>
          <w:bCs/>
        </w:rPr>
        <w:t>Corporate Stamp</w:t>
      </w:r>
      <w:r w:rsidRPr="00E66597">
        <w:t>:</w:t>
      </w:r>
    </w:p>
    <w:p w14:paraId="620986A8" w14:textId="77777777" w:rsidR="00E66597" w:rsidRDefault="00E66597"/>
    <w:sectPr w:rsidR="00E6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F2A"/>
    <w:multiLevelType w:val="multilevel"/>
    <w:tmpl w:val="915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2DB7"/>
    <w:multiLevelType w:val="multilevel"/>
    <w:tmpl w:val="EE28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863E5"/>
    <w:multiLevelType w:val="multilevel"/>
    <w:tmpl w:val="30C0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C0657"/>
    <w:multiLevelType w:val="multilevel"/>
    <w:tmpl w:val="D64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D193B"/>
    <w:multiLevelType w:val="multilevel"/>
    <w:tmpl w:val="397E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04F61"/>
    <w:multiLevelType w:val="multilevel"/>
    <w:tmpl w:val="079AE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F6692"/>
    <w:multiLevelType w:val="multilevel"/>
    <w:tmpl w:val="579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12D9E"/>
    <w:multiLevelType w:val="multilevel"/>
    <w:tmpl w:val="79541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CB4AC3"/>
    <w:multiLevelType w:val="multilevel"/>
    <w:tmpl w:val="A5CA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D67C2"/>
    <w:multiLevelType w:val="multilevel"/>
    <w:tmpl w:val="91A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595B8F"/>
    <w:multiLevelType w:val="multilevel"/>
    <w:tmpl w:val="A89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D0AED"/>
    <w:multiLevelType w:val="multilevel"/>
    <w:tmpl w:val="CD96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347589"/>
    <w:multiLevelType w:val="multilevel"/>
    <w:tmpl w:val="A06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C1F69"/>
    <w:multiLevelType w:val="multilevel"/>
    <w:tmpl w:val="4A1A5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367603">
    <w:abstractNumId w:val="0"/>
  </w:num>
  <w:num w:numId="2" w16cid:durableId="1381516981">
    <w:abstractNumId w:val="12"/>
  </w:num>
  <w:num w:numId="3" w16cid:durableId="1679038028">
    <w:abstractNumId w:val="7"/>
  </w:num>
  <w:num w:numId="4" w16cid:durableId="1366758231">
    <w:abstractNumId w:val="3"/>
  </w:num>
  <w:num w:numId="5" w16cid:durableId="350497809">
    <w:abstractNumId w:val="4"/>
  </w:num>
  <w:num w:numId="6" w16cid:durableId="662123487">
    <w:abstractNumId w:val="9"/>
  </w:num>
  <w:num w:numId="7" w16cid:durableId="1927617716">
    <w:abstractNumId w:val="6"/>
  </w:num>
  <w:num w:numId="8" w16cid:durableId="1326199602">
    <w:abstractNumId w:val="11"/>
  </w:num>
  <w:num w:numId="9" w16cid:durableId="66616618">
    <w:abstractNumId w:val="8"/>
  </w:num>
  <w:num w:numId="10" w16cid:durableId="57436780">
    <w:abstractNumId w:val="13"/>
  </w:num>
  <w:num w:numId="11" w16cid:durableId="1597135215">
    <w:abstractNumId w:val="2"/>
  </w:num>
  <w:num w:numId="12" w16cid:durableId="388043917">
    <w:abstractNumId w:val="5"/>
  </w:num>
  <w:num w:numId="13" w16cid:durableId="921991101">
    <w:abstractNumId w:val="1"/>
  </w:num>
  <w:num w:numId="14" w16cid:durableId="17646912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97"/>
    <w:rsid w:val="002A7935"/>
    <w:rsid w:val="00E6659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0359"/>
  <w15:chartTrackingRefBased/>
  <w15:docId w15:val="{74DC71F8-7CDA-4E08-BD0D-A35ABCDE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597"/>
    <w:rPr>
      <w:rFonts w:eastAsiaTheme="majorEastAsia" w:cstheme="majorBidi"/>
      <w:color w:val="272727" w:themeColor="text1" w:themeTint="D8"/>
    </w:rPr>
  </w:style>
  <w:style w:type="paragraph" w:styleId="Title">
    <w:name w:val="Title"/>
    <w:basedOn w:val="Normal"/>
    <w:next w:val="Normal"/>
    <w:link w:val="TitleChar"/>
    <w:uiPriority w:val="10"/>
    <w:qFormat/>
    <w:rsid w:val="00E66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97"/>
    <w:pPr>
      <w:spacing w:before="160"/>
      <w:jc w:val="center"/>
    </w:pPr>
    <w:rPr>
      <w:i/>
      <w:iCs/>
      <w:color w:val="404040" w:themeColor="text1" w:themeTint="BF"/>
    </w:rPr>
  </w:style>
  <w:style w:type="character" w:customStyle="1" w:styleId="QuoteChar">
    <w:name w:val="Quote Char"/>
    <w:basedOn w:val="DefaultParagraphFont"/>
    <w:link w:val="Quote"/>
    <w:uiPriority w:val="29"/>
    <w:rsid w:val="00E66597"/>
    <w:rPr>
      <w:i/>
      <w:iCs/>
      <w:color w:val="404040" w:themeColor="text1" w:themeTint="BF"/>
    </w:rPr>
  </w:style>
  <w:style w:type="paragraph" w:styleId="ListParagraph">
    <w:name w:val="List Paragraph"/>
    <w:basedOn w:val="Normal"/>
    <w:uiPriority w:val="34"/>
    <w:qFormat/>
    <w:rsid w:val="00E66597"/>
    <w:pPr>
      <w:ind w:left="720"/>
      <w:contextualSpacing/>
    </w:pPr>
  </w:style>
  <w:style w:type="character" w:styleId="IntenseEmphasis">
    <w:name w:val="Intense Emphasis"/>
    <w:basedOn w:val="DefaultParagraphFont"/>
    <w:uiPriority w:val="21"/>
    <w:qFormat/>
    <w:rsid w:val="00E66597"/>
    <w:rPr>
      <w:i/>
      <w:iCs/>
      <w:color w:val="0F4761" w:themeColor="accent1" w:themeShade="BF"/>
    </w:rPr>
  </w:style>
  <w:style w:type="paragraph" w:styleId="IntenseQuote">
    <w:name w:val="Intense Quote"/>
    <w:basedOn w:val="Normal"/>
    <w:next w:val="Normal"/>
    <w:link w:val="IntenseQuoteChar"/>
    <w:uiPriority w:val="30"/>
    <w:qFormat/>
    <w:rsid w:val="00E66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597"/>
    <w:rPr>
      <w:i/>
      <w:iCs/>
      <w:color w:val="0F4761" w:themeColor="accent1" w:themeShade="BF"/>
    </w:rPr>
  </w:style>
  <w:style w:type="character" w:styleId="IntenseReference">
    <w:name w:val="Intense Reference"/>
    <w:basedOn w:val="DefaultParagraphFont"/>
    <w:uiPriority w:val="32"/>
    <w:qFormat/>
    <w:rsid w:val="00E66597"/>
    <w:rPr>
      <w:b/>
      <w:bCs/>
      <w:smallCaps/>
      <w:color w:val="0F4761" w:themeColor="accent1" w:themeShade="BF"/>
      <w:spacing w:val="5"/>
    </w:rPr>
  </w:style>
  <w:style w:type="character" w:styleId="Hyperlink">
    <w:name w:val="Hyperlink"/>
    <w:basedOn w:val="DefaultParagraphFont"/>
    <w:uiPriority w:val="99"/>
    <w:unhideWhenUsed/>
    <w:rsid w:val="00E66597"/>
    <w:rPr>
      <w:color w:val="467886" w:themeColor="hyperlink"/>
      <w:u w:val="single"/>
    </w:rPr>
  </w:style>
  <w:style w:type="character" w:styleId="UnresolvedMention">
    <w:name w:val="Unresolved Mention"/>
    <w:basedOn w:val="DefaultParagraphFont"/>
    <w:uiPriority w:val="99"/>
    <w:semiHidden/>
    <w:unhideWhenUsed/>
    <w:rsid w:val="00E66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Afzal Shaikh</dc:creator>
  <cp:keywords/>
  <dc:description/>
  <cp:lastModifiedBy>Afzal Shaikh</cp:lastModifiedBy>
  <cp:revision>1</cp:revision>
  <dcterms:created xsi:type="dcterms:W3CDTF">2026-05-31T11:03:00Z</dcterms:created>
  <dcterms:modified xsi:type="dcterms:W3CDTF">2026-05-31T11:03:00Z</dcterms:modified>
</cp:coreProperties>
</file>